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00" w:line="240" w:lineRule="auto"/>
        <w:jc w:val="center"/>
      </w:pPr>
      <w:r>
        <w:rPr>
          <w:rFonts w:ascii="Times New Roman" w:hAnsi="Times New Roman" w:eastAsia="Times New Roman"/>
          <w:b/>
          <w:i w:val="0"/>
          <w:color w:val="17365D"/>
          <w:sz w:val="34"/>
        </w:rPr>
        <w:t>THAM LUẬN</w:t>
      </w:r>
    </w:p>
    <w:p>
      <w:pPr>
        <w:keepNext w:val="0"/>
        <w:spacing w:before="0" w:after="80" w:line="264" w:lineRule="auto"/>
        <w:jc w:val="center"/>
      </w:pPr>
      <w:r>
        <w:rPr>
          <w:rFonts w:ascii="Times New Roman" w:hAnsi="Times New Roman" w:eastAsia="Times New Roman"/>
          <w:b/>
          <w:i w:val="0"/>
          <w:color w:val="000000"/>
          <w:sz w:val="36"/>
        </w:rPr>
        <w:t>KẾT NỐI TRI THỨC - CHUẨN HÓA NĂNG LỰC - CHUYỂN GIAO ĐỔI MỚI</w:t>
      </w:r>
    </w:p>
    <w:p>
      <w:pPr>
        <w:keepNext w:val="0"/>
        <w:spacing w:before="0" w:after="260" w:line="276" w:lineRule="auto"/>
        <w:jc w:val="center"/>
      </w:pPr>
      <w:r>
        <w:rPr>
          <w:rFonts w:ascii="Times New Roman" w:hAnsi="Times New Roman" w:eastAsia="Times New Roman"/>
          <w:b/>
          <w:i/>
          <w:color w:val="17365D"/>
          <w:sz w:val="28"/>
        </w:rPr>
        <w:t>Phát huy vai trò của Hội Y học thành phố Hà Nội trong nâng cao năng lực hội viên và kiến tạo hệ sinh thái y tế Thủ đô hiện đại</w:t>
      </w:r>
    </w:p>
    <w:p>
      <w:pPr>
        <w:keepNext w:val="0"/>
        <w:spacing w:before="0" w:after="40" w:line="240" w:lineRule="auto"/>
        <w:jc w:val="center"/>
      </w:pPr>
      <w:r>
        <w:rPr>
          <w:rFonts w:ascii="Times New Roman" w:hAnsi="Times New Roman" w:eastAsia="Times New Roman"/>
          <w:b/>
          <w:i w:val="0"/>
          <w:color w:val="000000"/>
          <w:sz w:val="28"/>
        </w:rPr>
        <w:t>PGS.TS. Doãn Ngọc Hải</w:t>
      </w:r>
    </w:p>
    <w:p>
      <w:pPr>
        <w:keepNext w:val="0"/>
        <w:spacing w:before="0" w:after="240" w:line="240" w:lineRule="auto"/>
        <w:jc w:val="center"/>
      </w:pPr>
      <w:r>
        <w:rPr>
          <w:rFonts w:ascii="Times New Roman" w:hAnsi="Times New Roman" w:eastAsia="Times New Roman"/>
          <w:b w:val="0"/>
          <w:i/>
          <w:color w:val="000000"/>
          <w:sz w:val="26"/>
        </w:rPr>
        <w:t>Giám đốc Trung tâm Đào tạo và Chuyển giao công nghệ Y tế Hà Nội</w:t>
      </w:r>
    </w:p>
    <w:tbl>
      <w:tblPr>
        <w:tblW w:type="auto" w:w="0"/>
        <w:jc w:val="center"/>
        <w:tblLayout w:type="fixed"/>
        <w:tblLook w:firstColumn="1" w:firstRow="1" w:lastColumn="0" w:lastRow="0" w:noHBand="0" w:noVBand="1" w:val="04A0"/>
      </w:tblPr>
      <w:tblGrid>
        <w:gridCol w:w="9071"/>
      </w:tblGrid>
      <w:tr>
        <w:trPr>
          <w:cantSplit/>
        </w:trPr>
        <w:tc>
          <w:tcPr>
            <w:tcW w:type="dxa" w:w="9000"/>
            <w:tcMar>
              <w:top w:w="180" w:type="dxa"/>
              <w:start w:w="260" w:type="dxa"/>
              <w:bottom w:w="180" w:type="dxa"/>
              <w:end w:w="260" w:type="dxa"/>
            </w:tcMar>
            <w:shd w:fill="EAF0F7"/>
          </w:tcPr>
          <w:p>
            <w:pPr>
              <w:spacing w:after="0" w:line="288" w:lineRule="auto"/>
              <w:jc w:val="center"/>
            </w:pPr>
            <w:r>
              <w:rPr>
                <w:rFonts w:ascii="Times New Roman" w:hAnsi="Times New Roman" w:eastAsia="Times New Roman"/>
                <w:b/>
                <w:i w:val="0"/>
                <w:color w:val="17365D"/>
                <w:sz w:val="28"/>
              </w:rPr>
              <w:t xml:space="preserve">Thông điệp trung tâm: </w:t>
            </w:r>
            <w:r>
              <w:rPr>
                <w:rFonts w:ascii="Times New Roman" w:hAnsi="Times New Roman" w:eastAsia="Times New Roman"/>
                <w:b w:val="0"/>
                <w:i/>
                <w:color w:val="000000"/>
                <w:sz w:val="28"/>
              </w:rPr>
              <w:t>Hội quy tụ trí tuệ; Trung tâm tổ chức năng lực thực thi; cơ sở y tế là nơi tạo ra kết quả. Ba lực lượng cùng hành động sẽ biến tri thức của đội ngũ thầy thuốc Hà Nội thành chất lượng chăm sóc sức khỏe đo đếm được cho người dân.</w:t>
            </w:r>
          </w:p>
        </w:tc>
      </w:tr>
    </w:tbl>
    <w:p>
      <w:pPr>
        <w:keepNext w:val="0"/>
        <w:spacing w:before="0" w:after="60" w:line="312" w:lineRule="auto"/>
        <w:jc w:val="both"/>
      </w:pPr>
      <w:r>
        <w:rPr>
          <w:rFonts w:ascii="Times New Roman" w:hAnsi="Times New Roman" w:eastAsia="Times New Roman"/>
          <w:b w:val="0"/>
          <w:i w:val="0"/>
          <w:color w:val="000000"/>
          <w:sz w:val="28"/>
        </w:rPr>
        <w:t>Kính thưa Đoàn Chủ tịch Đại hội,</w:t>
      </w:r>
    </w:p>
    <w:p>
      <w:pPr>
        <w:keepNext w:val="0"/>
        <w:spacing w:before="0" w:after="140" w:line="312" w:lineRule="auto"/>
        <w:jc w:val="both"/>
      </w:pPr>
      <w:r>
        <w:rPr>
          <w:rFonts w:ascii="Times New Roman" w:hAnsi="Times New Roman" w:eastAsia="Times New Roman"/>
          <w:b w:val="0"/>
          <w:i w:val="0"/>
          <w:color w:val="000000"/>
          <w:sz w:val="28"/>
        </w:rPr>
        <w:t>Kính thưa các đồng chí lãnh đạo, các nhà khoa học, các thầy thuốc và toàn thể quý vị đại biểu!</w:t>
      </w:r>
    </w:p>
    <w:p>
      <w:pPr>
        <w:keepNext w:val="0"/>
        <w:spacing w:before="0" w:after="140" w:line="312" w:lineRule="auto"/>
        <w:ind w:firstLine="567"/>
        <w:jc w:val="both"/>
      </w:pPr>
      <w:r>
        <w:rPr>
          <w:rFonts w:ascii="Times New Roman" w:hAnsi="Times New Roman" w:eastAsia="Times New Roman"/>
          <w:b w:val="0"/>
          <w:i w:val="0"/>
          <w:color w:val="000000"/>
          <w:sz w:val="28"/>
        </w:rPr>
        <w:t>Trước hết, tôi trân trọng cảm ơn Ban Chấp hành Hội Y học thành phố Hà Nội đã giao Trung tâm Đào tạo và Chuyển giao công nghệ Y tế Hà Nội trình bày tham luận tại Đại hội khóa VIII, nhiệm kỳ 2026-2031. Đây vừa là vinh dự, vừa là lời mời cùng hành động vì một mục tiêu chung: tập hợp, liên kết đội ngũ y học Thủ đô; hỗ trợ hội viên nâng cao trình độ chuyên môn, nghiệp vụ; góp phần xây dựng ngành y tế tiên tiến, hiện đại, đáp ứng ngày càng tốt hơn nhu cầu chăm sóc sức khỏe nhân dân.</w:t>
      </w:r>
    </w:p>
    <w:p>
      <w:pPr>
        <w:keepNext w:val="0"/>
        <w:spacing w:before="0" w:after="140" w:line="312" w:lineRule="auto"/>
        <w:ind w:firstLine="567"/>
        <w:jc w:val="both"/>
      </w:pPr>
      <w:r>
        <w:rPr>
          <w:rFonts w:ascii="Times New Roman" w:hAnsi="Times New Roman" w:eastAsia="Times New Roman"/>
          <w:b w:val="0"/>
          <w:i w:val="0"/>
          <w:color w:val="000000"/>
          <w:sz w:val="28"/>
        </w:rPr>
        <w:t>Từ kinh nghiệm nhiều năm làm công tác quản lý ở Bộ Y tế, lãnh đạo viện nghiên cứu quốc gia, lãnh đạo cơ sở đào tạo đại học và hiện nay trực tiếp tổ chức một đơn vị mới của ngành y tế Hà Nội, tôi nhận thấy: nguồn lực chuyên môn của Thủ đô rất lớn, nhưng giá trị chỉ được nhân lên khi tri thức được kết nối, chuẩn hóa, chuyển giao và theo dõi đến kết quả cuối cùng. Đó cũng chính là không gian hợp tác tự nhiên giữa Hội Y học thành phố Hà Nội và Trung tâm.</w:t>
      </w:r>
    </w:p>
    <w:p>
      <w:pPr>
        <w:pStyle w:val="Heading1"/>
        <w:keepNext/>
      </w:pPr>
      <w:r>
        <w:rPr>
          <w:rFonts w:ascii="Times New Roman" w:hAnsi="Times New Roman" w:eastAsia="Times New Roman"/>
          <w:b/>
          <w:i w:val="0"/>
          <w:color w:val="17365D"/>
          <w:sz w:val="30"/>
        </w:rPr>
        <w:t>I. NHỮNG VẤN ĐỀ KHÓ CỦA HỆ THỐNG Y TẾ KHÔNG THỂ GIẢI QUYẾT BẰNG CÁC HOẠT ĐỘNG ĐƠN LẺ</w:t>
      </w:r>
    </w:p>
    <w:p>
      <w:pPr>
        <w:keepNext w:val="0"/>
        <w:spacing w:before="0" w:after="140" w:line="312" w:lineRule="auto"/>
        <w:ind w:firstLine="567"/>
        <w:jc w:val="both"/>
      </w:pPr>
      <w:r>
        <w:rPr>
          <w:rFonts w:ascii="Times New Roman" w:hAnsi="Times New Roman" w:eastAsia="Times New Roman"/>
          <w:b w:val="0"/>
          <w:i w:val="0"/>
          <w:color w:val="000000"/>
          <w:sz w:val="28"/>
        </w:rPr>
        <w:t>Hà Nội có đội ngũ chuyên gia đầu ngành, hệ thống bệnh viện lớn, mạng lưới y tế rộng và nhiều hội chuyên ngành giàu truyền thống. Tuy nhiên, hệ thống vẫn đứng trước bốn khoảng trống cần một cơ chế tổ chức mới.</w:t>
      </w:r>
    </w:p>
    <w:p>
      <w:pPr>
        <w:keepNext w:val="0"/>
        <w:spacing w:before="0" w:after="140" w:line="312" w:lineRule="auto"/>
        <w:ind w:firstLine="567"/>
        <w:jc w:val="both"/>
      </w:pPr>
      <w:r>
        <w:rPr>
          <w:rFonts w:ascii="Times New Roman" w:hAnsi="Times New Roman" w:eastAsia="Times New Roman"/>
          <w:b/>
          <w:i w:val="0"/>
          <w:color w:val="000000"/>
          <w:sz w:val="28"/>
        </w:rPr>
        <w:t>Thứ nhất,</w:t>
      </w:r>
      <w:r>
        <w:rPr>
          <w:rFonts w:ascii="Times New Roman" w:hAnsi="Times New Roman" w:eastAsia="Times New Roman"/>
          <w:b w:val="0"/>
          <w:i w:val="0"/>
          <w:color w:val="000000"/>
          <w:sz w:val="28"/>
        </w:rPr>
        <w:t xml:space="preserve"> khoảng trống giữa nhu cầu học tập thường xuyên và khả năng cung cấp chương trình đào tạo có chất lượng. Hội viên cần cập nhật chuyên môn, kỹ năng quản lý, chính sách pháp luật và công nghệ mới; trong khi nhiều chương trình còn rời rạc, chưa hình thành lộ trình năng lực theo vị trí việc làm và chưa theo dõi đầy đủ hiệu quả sau đào tạo.</w:t>
      </w:r>
    </w:p>
    <w:p>
      <w:pPr>
        <w:keepNext w:val="0"/>
        <w:spacing w:before="0" w:after="140" w:line="312" w:lineRule="auto"/>
        <w:ind w:firstLine="567"/>
        <w:jc w:val="both"/>
      </w:pPr>
      <w:r>
        <w:rPr>
          <w:rFonts w:ascii="Times New Roman" w:hAnsi="Times New Roman" w:eastAsia="Times New Roman"/>
          <w:b/>
          <w:i w:val="0"/>
          <w:color w:val="000000"/>
          <w:sz w:val="28"/>
        </w:rPr>
        <w:t>Thứ hai,</w:t>
      </w:r>
      <w:r>
        <w:rPr>
          <w:rFonts w:ascii="Times New Roman" w:hAnsi="Times New Roman" w:eastAsia="Times New Roman"/>
          <w:b w:val="0"/>
          <w:i w:val="0"/>
          <w:color w:val="000000"/>
          <w:sz w:val="28"/>
        </w:rPr>
        <w:t xml:space="preserve"> khoảng trống giữa sáng kiến và khả năng nhân rộng. Nhiều bệnh viện, chuyên gia và doanh nghiệp có giải pháp tốt, nhưng thiếu đầu mối đánh giá nhu cầu, thử nghiệm trong điều kiện thực tế, chuẩn hóa quy trình, đào tạo người sử dụng và chuyển giao có kiểm soát.</w:t>
      </w:r>
    </w:p>
    <w:p>
      <w:pPr>
        <w:keepNext w:val="0"/>
        <w:spacing w:before="0" w:after="140" w:line="312" w:lineRule="auto"/>
        <w:ind w:firstLine="567"/>
        <w:jc w:val="both"/>
      </w:pPr>
      <w:r>
        <w:rPr>
          <w:rFonts w:ascii="Times New Roman" w:hAnsi="Times New Roman" w:eastAsia="Times New Roman"/>
          <w:b/>
          <w:i w:val="0"/>
          <w:color w:val="000000"/>
          <w:sz w:val="28"/>
        </w:rPr>
        <w:t>Thứ ba,</w:t>
      </w:r>
      <w:r>
        <w:rPr>
          <w:rFonts w:ascii="Times New Roman" w:hAnsi="Times New Roman" w:eastAsia="Times New Roman"/>
          <w:b w:val="0"/>
          <w:i w:val="0"/>
          <w:color w:val="000000"/>
          <w:sz w:val="28"/>
        </w:rPr>
        <w:t xml:space="preserve"> khoảng trống giữa dữ liệu và quyết định. Bệnh án điện tử, phần mềm quản lý và thiết bị số đang tạo ra khối lượng dữ liệu lớn, nhưng dữ liệu chưa mặc nhiên trở thành năng lực điều hành. Lãnh đạo và cán bộ y tế cần được trang bị tư duy dữ liệu, kỹ năng số và khả năng sử dụng trí tuệ nhân tạo an toàn, có trách nhiệm.</w:t>
      </w:r>
    </w:p>
    <w:p>
      <w:pPr>
        <w:keepNext w:val="0"/>
        <w:spacing w:before="0" w:after="140" w:line="312" w:lineRule="auto"/>
        <w:ind w:firstLine="567"/>
        <w:jc w:val="both"/>
      </w:pPr>
      <w:r>
        <w:rPr>
          <w:rFonts w:ascii="Times New Roman" w:hAnsi="Times New Roman" w:eastAsia="Times New Roman"/>
          <w:b/>
          <w:i w:val="0"/>
          <w:color w:val="000000"/>
          <w:sz w:val="28"/>
        </w:rPr>
        <w:t>Thứ tư,</w:t>
      </w:r>
      <w:r>
        <w:rPr>
          <w:rFonts w:ascii="Times New Roman" w:hAnsi="Times New Roman" w:eastAsia="Times New Roman"/>
          <w:b w:val="0"/>
          <w:i w:val="0"/>
          <w:color w:val="000000"/>
          <w:sz w:val="28"/>
        </w:rPr>
        <w:t xml:space="preserve"> khoảng trống giữa tiềm năng hợp tác quốc tế và kết quả chuyển giao. Hợp tác chỉ có giá trị bền vững khi công nghệ, chương trình đào tạo và mô hình quản trị được Việt hóa, có đơn vị tiếp nhận, có đội ngũ vận hành và có chỉ số đánh giá.</w:t>
      </w:r>
    </w:p>
    <w:p>
      <w:pPr>
        <w:keepNext w:val="0"/>
        <w:spacing w:before="0" w:after="140" w:line="312" w:lineRule="auto"/>
        <w:ind w:firstLine="567"/>
        <w:jc w:val="both"/>
      </w:pPr>
      <w:r>
        <w:rPr>
          <w:rFonts w:ascii="Times New Roman" w:hAnsi="Times New Roman" w:eastAsia="Times New Roman"/>
          <w:b w:val="0"/>
          <w:i w:val="0"/>
          <w:color w:val="000000"/>
          <w:sz w:val="28"/>
        </w:rPr>
        <w:t>Một yêu cầu mới, rất cấp thiết, là chuẩn bị cho kỳ kiểm tra đánh giá năng lực hành nghề khám bệnh, chữa bệnh cấp quốc gia. Theo lộ trình hiện hành, kỳ kiểm tra đối với bác sĩ bắt đầu từ ngày 01/01/2027; các nhóm chức danh khác được triển khai từ năm 2028 và 2029. Kỳ kiểm tra đầu tiên dự kiến trong quý I/2027 đối với bốn phạm vi hành nghề: y khoa, y học dự phòng, y học cổ truyền và răng - hàm - mặt. Cấu trúc đánh giá hướng vào năng lực vận dụng, giải quyết tình huống nghề nghiệp theo ma trận đề, thay vì chỉ ghi nhớ kiến thức. Đây vừa là thách thức, vừa là cơ hội để Hội và Trung tâm hỗ trợ hội viên chuẩn bị từ sớm, đúng chuẩn và có hệ thống.</w:t>
      </w:r>
    </w:p>
    <w:p>
      <w:pPr>
        <w:spacing w:before="0" w:after="140" w:line="312" w:lineRule="auto"/>
        <w:ind w:firstLine="567"/>
        <w:jc w:val="both"/>
      </w:pPr>
      <w:r>
        <w:rPr>
          <w:rFonts w:ascii="Times New Roman" w:hAnsi="Times New Roman" w:eastAsia="Times New Roman"/>
          <w:b/>
          <w:i w:val="0"/>
          <w:color w:val="17365D"/>
          <w:sz w:val="28"/>
        </w:rPr>
        <w:t xml:space="preserve">Quan điểm của tôi là: </w:t>
      </w:r>
      <w:r>
        <w:rPr>
          <w:rFonts w:ascii="Times New Roman" w:hAnsi="Times New Roman" w:eastAsia="Times New Roman"/>
          <w:b/>
          <w:i w:val="0"/>
          <w:color w:val="000000"/>
          <w:sz w:val="28"/>
        </w:rPr>
        <w:t>điểm nghẽn của y tế Hà Nội hiện nay không chỉ nằm ở việc thiếu kiến thức hay thiếu công nghệ; điểm nghẽn quan trọng hơn là thiếu một chu trình đủ năng lực để biến tri thức và công nghệ thành thực hành chuẩn, rồi nhân rộng trong toàn hệ thống.</w:t>
      </w:r>
    </w:p>
    <w:p>
      <w:pPr>
        <w:pStyle w:val="Heading1"/>
        <w:keepNext/>
      </w:pPr>
      <w:r>
        <w:rPr>
          <w:rFonts w:ascii="Times New Roman" w:hAnsi="Times New Roman" w:eastAsia="Times New Roman"/>
          <w:b/>
          <w:i w:val="0"/>
          <w:color w:val="17365D"/>
          <w:sz w:val="30"/>
        </w:rPr>
        <w:t>II. SỰ RA ĐỜI CỦA TRUNG TÂM LÀ MỘT GIẢI PHÁP TỔ CHỨC CHO NHỮNG KHOẢNG TRỐNG ĐÓ</w:t>
      </w:r>
    </w:p>
    <w:p>
      <w:pPr>
        <w:keepNext w:val="0"/>
        <w:spacing w:before="0" w:after="140" w:line="312" w:lineRule="auto"/>
        <w:ind w:firstLine="567"/>
        <w:jc w:val="both"/>
      </w:pPr>
      <w:r>
        <w:rPr>
          <w:rFonts w:ascii="Times New Roman" w:hAnsi="Times New Roman" w:eastAsia="Times New Roman"/>
          <w:b w:val="0"/>
          <w:i w:val="0"/>
          <w:color w:val="000000"/>
          <w:sz w:val="28"/>
        </w:rPr>
        <w:t>Trung tâm Đào tạo và Chuyển giao công nghệ Y tế Hà Nội là đơn vị sự nghiệp công lập trực thuộc Sở Y tế Hà Nội, được giao thực hiện các nhiệm vụ về đào tạo, phát triển nghề nghiệp liên tục, chuyển giao công nghệ, chuyển đổi số, nghiên cứu khoa học và hợp tác quốc tế trong các lĩnh vực y học, dân số, trẻ em và bảo trợ xã hội.</w:t>
      </w:r>
    </w:p>
    <w:p>
      <w:pPr>
        <w:keepNext w:val="0"/>
        <w:spacing w:before="0" w:after="140" w:line="312" w:lineRule="auto"/>
        <w:ind w:firstLine="567"/>
        <w:jc w:val="both"/>
      </w:pPr>
      <w:r>
        <w:rPr>
          <w:rFonts w:ascii="Times New Roman" w:hAnsi="Times New Roman" w:eastAsia="Times New Roman"/>
          <w:b w:val="0"/>
          <w:i w:val="0"/>
          <w:color w:val="000000"/>
          <w:sz w:val="28"/>
        </w:rPr>
        <w:t>Giá trị của Trung tâm không nằm ở việc làm thay bệnh viện, trường đại học hay các hội chuyên ngành. Trung tâm được thiết kế để làm đầu mối kết nối và tổ chức thực thi: tổng hợp nhu cầu; huy động chuyên gia; cùng xây dựng chương trình; tổ chức thử nghiệm; chuẩn hóa quy trình; đào tạo người sử dụng; đánh giá kết quả và hỗ trợ nhân rộng.</w:t>
      </w:r>
    </w:p>
    <w:p>
      <w:pPr>
        <w:keepNext w:val="0"/>
        <w:spacing w:before="0" w:after="140" w:line="312" w:lineRule="auto"/>
        <w:ind w:firstLine="567"/>
        <w:jc w:val="both"/>
      </w:pPr>
      <w:r>
        <w:rPr>
          <w:rFonts w:ascii="Times New Roman" w:hAnsi="Times New Roman" w:eastAsia="Times New Roman"/>
          <w:b w:val="0"/>
          <w:i w:val="0"/>
          <w:color w:val="000000"/>
          <w:sz w:val="28"/>
        </w:rPr>
        <w:t>Định hướng này được hình thành từ kinh nghiệm thực tiễn của tôi trong quản lý nhà nước, nghiên cứu, đào tạo và điều hành tổ chức y tế. Khi trực tiếp xây dựng các đề án phát triển nguồn nhân lực y tế Thủ đô, đào tạo lãnh đạo bệnh viện, quản trị bệnh viện dựa trên dữ liệu, điều phối nguồn lực khám sức khỏe toàn dân, ứng dụng trí tuệ nhân tạo trong điều hành, y tế thông minh và hợp tác nghiên cứu quốc tế, tôi càng thấy rõ một nguyên tắc: mọi đề án chỉ thực sự thành công khi có chủ thể chịu trách nhiệm xuyên suốt từ thiết kế đến kết quả đầu ra.</w:t>
      </w:r>
    </w:p>
    <w:p>
      <w:pPr>
        <w:keepNext w:val="0"/>
        <w:spacing w:before="0" w:after="140" w:line="312" w:lineRule="auto"/>
        <w:ind w:firstLine="567"/>
        <w:jc w:val="both"/>
      </w:pPr>
      <w:r>
        <w:rPr>
          <w:rFonts w:ascii="Times New Roman" w:hAnsi="Times New Roman" w:eastAsia="Times New Roman"/>
          <w:b w:val="0"/>
          <w:i w:val="0"/>
          <w:color w:val="000000"/>
          <w:sz w:val="28"/>
        </w:rPr>
        <w:t>Vì vậy, Trung tâm theo đuổi phương châm: chuẩn hóa năng lực - kết nối công nghệ - chuyển giao tri thức - nhân rộng đổi mới. Đây không phải một khẩu hiệu nhận diện; đó là mô hình vận hành và cũng là cam kết của Trung tâm với ngành y tế Thủ đô.</w:t>
      </w:r>
    </w:p>
    <w:p>
      <w:pPr>
        <w:pStyle w:val="Heading1"/>
        <w:keepNext/>
      </w:pPr>
      <w:r>
        <w:rPr>
          <w:rFonts w:ascii="Times New Roman" w:hAnsi="Times New Roman" w:eastAsia="Times New Roman"/>
          <w:b/>
          <w:i w:val="0"/>
          <w:color w:val="17365D"/>
          <w:sz w:val="30"/>
        </w:rPr>
        <w:t>III. ĐỀ XUẤT KHUÔN KHỔ HỢP TÁC HỘI - TRUNG TÂM TRONG NHIỆM KỲ 2026-2031</w:t>
      </w:r>
    </w:p>
    <w:p>
      <w:pPr>
        <w:keepNext w:val="0"/>
        <w:spacing w:before="0" w:after="140" w:line="312" w:lineRule="auto"/>
        <w:ind w:firstLine="567"/>
        <w:jc w:val="both"/>
      </w:pPr>
      <w:r>
        <w:rPr>
          <w:rFonts w:ascii="Times New Roman" w:hAnsi="Times New Roman" w:eastAsia="Times New Roman"/>
          <w:b w:val="0"/>
          <w:i w:val="0"/>
          <w:color w:val="000000"/>
          <w:sz w:val="28"/>
        </w:rPr>
        <w:t>Hội Y học thành phố Hà Nội có sức mạnh tập hợp chuyên gia, xác lập ưu tiên nghề nghiệp, phản ánh nhu cầu của hội viên và lan tỏa các chuẩn mực chuyên môn. Trung tâm có chức năng tổ chức đào tạo, chuyển giao công nghệ, chuyển đổi số và hợp tác quốc tế. Các bệnh viện, cơ sở y tế là nơi triển khai, kiểm chứng và tạo ra kết quả. Trên nền tảng đó, tôi đề xuất Chương trình phối hợp 2026-2031 với sáu trụ cột.</w:t>
      </w:r>
    </w:p>
    <w:p>
      <w:pPr>
        <w:keepNext/>
        <w:spacing w:before="0" w:after="60" w:line="312" w:lineRule="auto"/>
        <w:ind w:firstLine="0"/>
        <w:jc w:val="both"/>
      </w:pPr>
      <w:r>
        <w:rPr>
          <w:rFonts w:ascii="Times New Roman" w:hAnsi="Times New Roman" w:eastAsia="Times New Roman"/>
          <w:b/>
          <w:i w:val="0"/>
          <w:color w:val="17365D"/>
          <w:sz w:val="28"/>
        </w:rPr>
        <w:t>1. Đồng kiến tạo hệ thống đào tạo liên tục (CME) và hỗ trợ sẵn sàng hành nghề</w:t>
      </w:r>
    </w:p>
    <w:p>
      <w:pPr>
        <w:keepNext w:val="0"/>
        <w:spacing w:before="0" w:after="140" w:line="312" w:lineRule="auto"/>
        <w:ind w:left="340" w:firstLine="0"/>
        <w:jc w:val="both"/>
      </w:pPr>
      <w:r>
        <w:rPr>
          <w:rFonts w:ascii="Times New Roman" w:hAnsi="Times New Roman" w:eastAsia="Times New Roman"/>
          <w:b w:val="0"/>
          <w:i w:val="0"/>
          <w:color w:val="000000"/>
          <w:sz w:val="28"/>
        </w:rPr>
        <w:t>Mỗi hội chuyên ngành chủ trì xác định khoảng trống năng lực và giới thiệu chuyên gia; Trung tâm hỗ trợ chuẩn hóa mục tiêu, chương trình, học liệu, tổ chức lớp, quản lý chất lượng và hồ sơ chứng nhận theo quy định. Trên Cổng hội viên kết nối với nền tảng đào tạo của Trung tâm, mỗi hội viên có một tài khoản và hai hồ sơ liên thông: “Hộ chiếu sẵn sàng hành nghề” để tự đánh giá theo khung năng lực công khai, nhận lộ trình học cá nhân hóa, luyện tình huống và lưu e-portfolio thực hành; “Hộ chiếu CME” để tích lũy khóa học, chứng nhận, minh chứng và nhắc thời hạn phục vụ phát triển nghề nghiệp, gia hạn giấy phép hành nghề. Hội huy động chuyên gia, cơ sở y tế xác nhận thực hành, Trung tâm vận hành hạ tầng và bảo đảm chất lượng.</w:t>
      </w:r>
    </w:p>
    <w:p>
      <w:pPr>
        <w:keepNext/>
        <w:spacing w:before="0" w:after="60" w:line="312" w:lineRule="auto"/>
        <w:ind w:firstLine="0"/>
        <w:jc w:val="both"/>
      </w:pPr>
      <w:r>
        <w:rPr>
          <w:rFonts w:ascii="Times New Roman" w:hAnsi="Times New Roman" w:eastAsia="Times New Roman"/>
          <w:b/>
          <w:i w:val="0"/>
          <w:color w:val="17365D"/>
          <w:sz w:val="28"/>
        </w:rPr>
        <w:t>2. Đào tạo nâng cao năng lực chuyên môn theo từng lĩnh vực</w:t>
      </w:r>
    </w:p>
    <w:p>
      <w:pPr>
        <w:keepNext w:val="0"/>
        <w:spacing w:before="0" w:after="140" w:line="312" w:lineRule="auto"/>
        <w:ind w:left="340" w:firstLine="0"/>
        <w:jc w:val="both"/>
      </w:pPr>
      <w:r>
        <w:rPr>
          <w:rFonts w:ascii="Times New Roman" w:hAnsi="Times New Roman" w:eastAsia="Times New Roman"/>
          <w:b w:val="0"/>
          <w:i w:val="0"/>
          <w:color w:val="000000"/>
          <w:sz w:val="28"/>
        </w:rPr>
        <w:t>Xây dựng danh mục chương trình chuyên sâu theo đề xuất của các hội; ưu tiên kỹ thuật mới, an toàn người bệnh, quản lý chất lượng, đạo đức nghề nghiệp, giao tiếp y khoa và năng lực quản lý. Mỗi khóa học phải có đầu ra cụ thể, đánh giá trước - sau và cơ chế theo dõi mức độ áp dụng tại nơi làm việc.</w:t>
      </w:r>
    </w:p>
    <w:p>
      <w:pPr>
        <w:keepNext/>
        <w:spacing w:before="0" w:after="60" w:line="312" w:lineRule="auto"/>
        <w:ind w:firstLine="0"/>
        <w:jc w:val="both"/>
      </w:pPr>
      <w:r>
        <w:rPr>
          <w:rFonts w:ascii="Times New Roman" w:hAnsi="Times New Roman" w:eastAsia="Times New Roman"/>
          <w:b/>
          <w:i w:val="0"/>
          <w:color w:val="17365D"/>
          <w:sz w:val="28"/>
        </w:rPr>
        <w:t>3. Phổ cập năng lực số và sử dụng trí tuệ nhân tạo có trách nhiệm</w:t>
      </w:r>
    </w:p>
    <w:p>
      <w:pPr>
        <w:keepNext w:val="0"/>
        <w:spacing w:before="0" w:after="140" w:line="312" w:lineRule="auto"/>
        <w:ind w:left="340" w:firstLine="0"/>
        <w:jc w:val="both"/>
      </w:pPr>
      <w:r>
        <w:rPr>
          <w:rFonts w:ascii="Times New Roman" w:hAnsi="Times New Roman" w:eastAsia="Times New Roman"/>
          <w:b w:val="0"/>
          <w:i w:val="0"/>
          <w:color w:val="000000"/>
          <w:sz w:val="28"/>
        </w:rPr>
        <w:t>Thiết kế khung năng lực số cho cán bộ y tế và lãnh đạo đơn vị; đào tạo từ nền tảng đến ứng dụng: quản trị dữ liệu, khai thác bệnh án điện tử, hỗ trợ ra quyết định, xây dựng học liệu, nghiên cứu, quản lý bệnh viện và chăm sóc người bệnh. Trọng tâm không phải chạy theo công cụ, mà là biết đặt bài toán đúng, kiểm chứng đầu ra, bảo vệ dữ liệu và duy trì trách nhiệm nghề nghiệp.</w:t>
      </w:r>
    </w:p>
    <w:p>
      <w:pPr>
        <w:keepNext/>
        <w:spacing w:before="0" w:after="60" w:line="312" w:lineRule="auto"/>
        <w:ind w:firstLine="0"/>
        <w:jc w:val="both"/>
      </w:pPr>
      <w:r>
        <w:rPr>
          <w:rFonts w:ascii="Times New Roman" w:hAnsi="Times New Roman" w:eastAsia="Times New Roman"/>
          <w:b/>
          <w:i w:val="0"/>
          <w:color w:val="17365D"/>
          <w:sz w:val="28"/>
        </w:rPr>
        <w:t>4. Thiết lập hành lang thử nghiệm và chuyển giao công nghệ</w:t>
      </w:r>
    </w:p>
    <w:p>
      <w:pPr>
        <w:keepNext w:val="0"/>
        <w:spacing w:before="0" w:after="140" w:line="312" w:lineRule="auto"/>
        <w:ind w:left="340" w:firstLine="0"/>
        <w:jc w:val="both"/>
      </w:pPr>
      <w:r>
        <w:rPr>
          <w:rFonts w:ascii="Times New Roman" w:hAnsi="Times New Roman" w:eastAsia="Times New Roman"/>
          <w:b w:val="0"/>
          <w:i w:val="0"/>
          <w:color w:val="000000"/>
          <w:sz w:val="28"/>
        </w:rPr>
        <w:t>Các hội đề xuất nhu cầu và chuyên gia thẩm định; Trung tâm điều phối thử nghiệm theo chu trình: tổng hợp nhu cầu - thử nghiệm giải pháp - chuẩn hóa và triển khai quy mô nhỏ - hoàn thiện công nghệ - nhân rộng mô hình. Cách làm này bảo đảm đổi mới có bằng chứng, phù hợp thực tiễn và không biến cơ sở y tế thành nơi tiếp nhận công nghệ thụ động.</w:t>
      </w:r>
    </w:p>
    <w:p>
      <w:pPr>
        <w:keepNext/>
        <w:spacing w:before="0" w:after="60" w:line="312" w:lineRule="auto"/>
        <w:ind w:firstLine="0"/>
        <w:jc w:val="both"/>
      </w:pPr>
      <w:r>
        <w:rPr>
          <w:rFonts w:ascii="Times New Roman" w:hAnsi="Times New Roman" w:eastAsia="Times New Roman"/>
          <w:b/>
          <w:i w:val="0"/>
          <w:color w:val="17365D"/>
          <w:sz w:val="28"/>
        </w:rPr>
        <w:t>5. Tổ chức nghiên cứu ứng dụng và hợp tác quốc tế hướng tới sản phẩm</w:t>
      </w:r>
    </w:p>
    <w:p>
      <w:pPr>
        <w:keepNext w:val="0"/>
        <w:spacing w:before="0" w:after="140" w:line="312" w:lineRule="auto"/>
        <w:ind w:left="340" w:firstLine="0"/>
        <w:jc w:val="both"/>
      </w:pPr>
      <w:r>
        <w:rPr>
          <w:rFonts w:ascii="Times New Roman" w:hAnsi="Times New Roman" w:eastAsia="Times New Roman"/>
          <w:b w:val="0"/>
          <w:i w:val="0"/>
          <w:color w:val="000000"/>
          <w:sz w:val="28"/>
        </w:rPr>
        <w:t>Phối hợp xây dựng nhóm nghiên cứu đa trung tâm, chương trình trao đổi chuyên gia, hội thảo quốc tế, đào tạo giảng viên và tiếp nhận công nghệ. Mỗi hợp tác cần xác định rõ sản phẩm Việt Nam nhận được: chương trình, quy trình, bộ dữ liệu, mô hình dịch vụ, đội ngũ được đào tạo hoặc công nghệ được làm chủ.</w:t>
      </w:r>
    </w:p>
    <w:p>
      <w:pPr>
        <w:keepNext/>
        <w:spacing w:before="0" w:after="60" w:line="312" w:lineRule="auto"/>
        <w:ind w:firstLine="0"/>
        <w:jc w:val="both"/>
      </w:pPr>
      <w:r>
        <w:rPr>
          <w:rFonts w:ascii="Times New Roman" w:hAnsi="Times New Roman" w:eastAsia="Times New Roman"/>
          <w:b/>
          <w:i w:val="0"/>
          <w:color w:val="17365D"/>
          <w:sz w:val="28"/>
        </w:rPr>
        <w:t>6. Xây dựng nền tảng tri thức và mạng lưới chuyên gia y học Thủ đô</w:t>
      </w:r>
    </w:p>
    <w:p>
      <w:pPr>
        <w:keepNext w:val="0"/>
        <w:spacing w:before="0" w:after="140" w:line="312" w:lineRule="auto"/>
        <w:ind w:left="340" w:firstLine="0"/>
        <w:jc w:val="both"/>
      </w:pPr>
      <w:r>
        <w:rPr>
          <w:rFonts w:ascii="Times New Roman" w:hAnsi="Times New Roman" w:eastAsia="Times New Roman"/>
          <w:b w:val="0"/>
          <w:i w:val="0"/>
          <w:color w:val="000000"/>
          <w:sz w:val="28"/>
        </w:rPr>
        <w:t>Hình thành kho học liệu dùng chung, thư viện bài giảng, ngân hàng tình huống, danh mục chuyên gia và lịch đào tạo thống nhất; từng bước xây dựng hồ sơ năng lực học tập của hội viên. Dữ liệu tổng hợp sẽ giúp Hội nhận diện nhu cầu, tư vấn chính sách và hoạch định chương trình sát thực tế hơn.</w:t>
      </w:r>
    </w:p>
    <w:p>
      <w:pPr>
        <w:pStyle w:val="Heading1"/>
        <w:keepNext/>
      </w:pPr>
      <w:r>
        <w:rPr>
          <w:rFonts w:ascii="Times New Roman" w:hAnsi="Times New Roman" w:eastAsia="Times New Roman"/>
          <w:b/>
          <w:i w:val="0"/>
          <w:color w:val="17365D"/>
          <w:sz w:val="30"/>
        </w:rPr>
        <w:t>IV. NHỮNG SẢN PHẨM CÓ THỂ KHỞI ĐỘNG NGAY TRONG NĂM ĐẦU NHIỆM KỲ</w:t>
      </w:r>
    </w:p>
    <w:p>
      <w:pPr>
        <w:keepNext w:val="0"/>
        <w:spacing w:before="0" w:after="140" w:line="312" w:lineRule="auto"/>
        <w:ind w:firstLine="567"/>
        <w:jc w:val="both"/>
      </w:pPr>
      <w:r>
        <w:rPr>
          <w:rFonts w:ascii="Times New Roman" w:hAnsi="Times New Roman" w:eastAsia="Times New Roman"/>
          <w:b w:val="0"/>
          <w:i w:val="0"/>
          <w:color w:val="000000"/>
          <w:sz w:val="28"/>
        </w:rPr>
        <w:t>Để hợp tác không dừng ở định hướng, tôi đề nghị Ban Chấp hành Hội và Trung tâm thống nhất một kế hoạch hành động năm đầu với các sản phẩm sau:</w:t>
      </w:r>
    </w:p>
    <w:tbl>
      <w:tblPr>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900"/>
            <w:shd w:fill="17365D"/>
            <w:tcMar>
              <w:top w:w="100" w:type="dxa"/>
              <w:start w:w="140" w:type="dxa"/>
              <w:bottom w:w="100" w:type="dxa"/>
              <w:end w:w="140" w:type="dxa"/>
            </w:tcMar>
          </w:tcPr>
          <w:p>
            <w:pPr>
              <w:jc w:val="center"/>
            </w:pPr>
            <w:r>
              <w:rPr>
                <w:rFonts w:ascii="Times New Roman" w:hAnsi="Times New Roman" w:eastAsia="Times New Roman"/>
                <w:b/>
                <w:i w:val="0"/>
                <w:color w:val="FFFFFF"/>
                <w:sz w:val="24"/>
              </w:rPr>
              <w:t>TT</w:t>
            </w:r>
          </w:p>
        </w:tc>
        <w:tc>
          <w:tcPr>
            <w:tcW w:type="dxa" w:w="5100"/>
            <w:shd w:fill="17365D"/>
            <w:tcMar>
              <w:top w:w="100" w:type="dxa"/>
              <w:start w:w="140" w:type="dxa"/>
              <w:bottom w:w="100" w:type="dxa"/>
              <w:end w:w="140" w:type="dxa"/>
            </w:tcMar>
          </w:tcPr>
          <w:p>
            <w:pPr>
              <w:jc w:val="center"/>
            </w:pPr>
            <w:r>
              <w:rPr>
                <w:rFonts w:ascii="Times New Roman" w:hAnsi="Times New Roman" w:eastAsia="Times New Roman"/>
                <w:b/>
                <w:i w:val="0"/>
                <w:color w:val="FFFFFF"/>
                <w:sz w:val="24"/>
              </w:rPr>
              <w:t>Sản phẩm phối hợp</w:t>
            </w:r>
          </w:p>
        </w:tc>
        <w:tc>
          <w:tcPr>
            <w:tcW w:type="dxa" w:w="3000"/>
            <w:shd w:fill="17365D"/>
            <w:tcMar>
              <w:top w:w="100" w:type="dxa"/>
              <w:start w:w="140" w:type="dxa"/>
              <w:bottom w:w="100" w:type="dxa"/>
              <w:end w:w="140" w:type="dxa"/>
            </w:tcMar>
          </w:tcPr>
          <w:p>
            <w:pPr>
              <w:jc w:val="center"/>
            </w:pPr>
            <w:r>
              <w:rPr>
                <w:rFonts w:ascii="Times New Roman" w:hAnsi="Times New Roman" w:eastAsia="Times New Roman"/>
                <w:b/>
                <w:i w:val="0"/>
                <w:color w:val="FFFFFF"/>
                <w:sz w:val="24"/>
              </w:rPr>
              <w:t>Kết quả dự kiến</w:t>
            </w:r>
          </w:p>
        </w:tc>
      </w:tr>
      <w:tr>
        <w:trPr>
          <w:cantSplit/>
        </w:trPr>
        <w:tc>
          <w:tcPr>
            <w:tcW w:type="dxa" w:w="900"/>
            <w:tcMar>
              <w:top w:w="100" w:type="dxa"/>
              <w:start w:w="140" w:type="dxa"/>
              <w:bottom w:w="100" w:type="dxa"/>
              <w:end w:w="140" w:type="dxa"/>
            </w:tcMar>
            <w:vAlign w:val="center"/>
          </w:tcPr>
          <w:p>
            <w:pPr>
              <w:spacing w:after="0" w:line="252" w:lineRule="auto"/>
              <w:jc w:val="center"/>
            </w:pPr>
            <w:r>
              <w:rPr>
                <w:rFonts w:ascii="Times New Roman" w:hAnsi="Times New Roman" w:eastAsia="Times New Roman"/>
                <w:b w:val="0"/>
                <w:i w:val="0"/>
                <w:color w:val="000000"/>
                <w:sz w:val="24"/>
              </w:rPr>
              <w:t>1</w:t>
            </w:r>
          </w:p>
        </w:tc>
        <w:tc>
          <w:tcPr>
            <w:tcW w:type="dxa" w:w="5100"/>
            <w:tcMar>
              <w:top w:w="100" w:type="dxa"/>
              <w:start w:w="140" w:type="dxa"/>
              <w:bottom w:w="100" w:type="dxa"/>
              <w:end w:w="140" w:type="dxa"/>
            </w:tcMar>
            <w:vAlign w:val="center"/>
          </w:tcPr>
          <w:p>
            <w:pPr>
              <w:spacing w:after="0" w:line="252" w:lineRule="auto"/>
              <w:jc w:val="left"/>
            </w:pPr>
            <w:r>
              <w:rPr>
                <w:rFonts w:ascii="Times New Roman" w:hAnsi="Times New Roman" w:eastAsia="Times New Roman"/>
                <w:b w:val="0"/>
                <w:i w:val="0"/>
                <w:color w:val="000000"/>
                <w:sz w:val="24"/>
              </w:rPr>
              <w:t>Khảo sát nhu cầu đào tạo và chuyển đổi số của các hội, chi hội, hội viên</w:t>
            </w:r>
          </w:p>
        </w:tc>
        <w:tc>
          <w:tcPr>
            <w:tcW w:type="dxa" w:w="3000"/>
            <w:tcMar>
              <w:top w:w="100" w:type="dxa"/>
              <w:start w:w="140" w:type="dxa"/>
              <w:bottom w:w="100" w:type="dxa"/>
              <w:end w:w="140" w:type="dxa"/>
            </w:tcMar>
            <w:vAlign w:val="center"/>
          </w:tcPr>
          <w:p>
            <w:pPr>
              <w:spacing w:after="0" w:line="252" w:lineRule="auto"/>
              <w:jc w:val="left"/>
            </w:pPr>
            <w:r>
              <w:rPr>
                <w:rFonts w:ascii="Times New Roman" w:hAnsi="Times New Roman" w:eastAsia="Times New Roman"/>
                <w:b w:val="0"/>
                <w:i w:val="0"/>
                <w:color w:val="000000"/>
                <w:sz w:val="24"/>
              </w:rPr>
              <w:t>Bản đồ nhu cầu và danh mục ưu tiên hằng năm</w:t>
            </w:r>
          </w:p>
        </w:tc>
      </w:tr>
      <w:tr>
        <w:trPr>
          <w:cantSplit/>
        </w:trPr>
        <w:tc>
          <w:tcPr>
            <w:tcW w:type="dxa" w:w="900"/>
            <w:tcMar>
              <w:top w:w="100" w:type="dxa"/>
              <w:start w:w="140" w:type="dxa"/>
              <w:bottom w:w="100" w:type="dxa"/>
              <w:end w:w="140" w:type="dxa"/>
            </w:tcMar>
            <w:vAlign w:val="center"/>
            <w:shd w:fill="F5F7FA"/>
          </w:tcPr>
          <w:p>
            <w:pPr>
              <w:spacing w:after="0" w:line="252" w:lineRule="auto"/>
              <w:jc w:val="center"/>
            </w:pPr>
            <w:r>
              <w:rPr>
                <w:rFonts w:ascii="Times New Roman" w:hAnsi="Times New Roman" w:eastAsia="Times New Roman"/>
                <w:b w:val="0"/>
                <w:i w:val="0"/>
                <w:color w:val="000000"/>
                <w:sz w:val="24"/>
              </w:rPr>
              <w:t>2</w:t>
            </w:r>
          </w:p>
        </w:tc>
        <w:tc>
          <w:tcPr>
            <w:tcW w:type="dxa" w:w="5100"/>
            <w:tcMar>
              <w:top w:w="100" w:type="dxa"/>
              <w:start w:w="140" w:type="dxa"/>
              <w:bottom w:w="100" w:type="dxa"/>
              <w:end w:w="140" w:type="dxa"/>
            </w:tcMar>
            <w:vAlign w:val="center"/>
            <w:shd w:fill="F5F7FA"/>
          </w:tcPr>
          <w:p>
            <w:pPr>
              <w:spacing w:after="0" w:line="252" w:lineRule="auto"/>
              <w:jc w:val="left"/>
            </w:pPr>
            <w:r>
              <w:rPr>
                <w:rFonts w:ascii="Times New Roman" w:hAnsi="Times New Roman" w:eastAsia="Times New Roman"/>
                <w:b w:val="0"/>
                <w:i w:val="0"/>
                <w:color w:val="000000"/>
                <w:sz w:val="24"/>
              </w:rPr>
              <w:t>Cổng hội viên và chương trình CME đồng thương hiệu Hội - Trung tâm</w:t>
            </w:r>
          </w:p>
        </w:tc>
        <w:tc>
          <w:tcPr>
            <w:tcW w:type="dxa" w:w="3000"/>
            <w:tcMar>
              <w:top w:w="100" w:type="dxa"/>
              <w:start w:w="140" w:type="dxa"/>
              <w:bottom w:w="100" w:type="dxa"/>
              <w:end w:w="140" w:type="dxa"/>
            </w:tcMar>
            <w:vAlign w:val="center"/>
            <w:shd w:fill="F5F7FA"/>
          </w:tcPr>
          <w:p>
            <w:pPr>
              <w:spacing w:after="0" w:line="252" w:lineRule="auto"/>
              <w:jc w:val="left"/>
            </w:pPr>
            <w:r>
              <w:rPr>
                <w:rFonts w:ascii="Times New Roman" w:hAnsi="Times New Roman" w:eastAsia="Times New Roman"/>
                <w:b w:val="0"/>
                <w:i w:val="0"/>
                <w:color w:val="000000"/>
                <w:sz w:val="24"/>
              </w:rPr>
              <w:t>Mỗi hội viên có tài khoản, lộ trình năng lực, Hộ chiếu sẵn sàng hành nghề và Hộ chiếu CME</w:t>
            </w:r>
          </w:p>
        </w:tc>
      </w:tr>
      <w:tr>
        <w:trPr>
          <w:cantSplit/>
        </w:trPr>
        <w:tc>
          <w:tcPr>
            <w:tcW w:type="dxa" w:w="900"/>
            <w:tcMar>
              <w:top w:w="100" w:type="dxa"/>
              <w:start w:w="140" w:type="dxa"/>
              <w:bottom w:w="100" w:type="dxa"/>
              <w:end w:w="140" w:type="dxa"/>
            </w:tcMar>
            <w:vAlign w:val="center"/>
          </w:tcPr>
          <w:p>
            <w:pPr>
              <w:spacing w:after="0" w:line="252" w:lineRule="auto"/>
              <w:jc w:val="center"/>
            </w:pPr>
            <w:r>
              <w:rPr>
                <w:rFonts w:ascii="Times New Roman" w:hAnsi="Times New Roman" w:eastAsia="Times New Roman"/>
                <w:b w:val="0"/>
                <w:i w:val="0"/>
                <w:color w:val="000000"/>
                <w:sz w:val="24"/>
              </w:rPr>
              <w:t>3</w:t>
            </w:r>
          </w:p>
        </w:tc>
        <w:tc>
          <w:tcPr>
            <w:tcW w:type="dxa" w:w="5100"/>
            <w:tcMar>
              <w:top w:w="100" w:type="dxa"/>
              <w:start w:w="140" w:type="dxa"/>
              <w:bottom w:w="100" w:type="dxa"/>
              <w:end w:w="140" w:type="dxa"/>
            </w:tcMar>
            <w:vAlign w:val="center"/>
          </w:tcPr>
          <w:p>
            <w:pPr>
              <w:spacing w:after="0" w:line="252" w:lineRule="auto"/>
              <w:jc w:val="left"/>
            </w:pPr>
            <w:r>
              <w:rPr>
                <w:rFonts w:ascii="Times New Roman" w:hAnsi="Times New Roman" w:eastAsia="Times New Roman"/>
                <w:b w:val="0"/>
                <w:i w:val="0"/>
                <w:color w:val="000000"/>
                <w:sz w:val="24"/>
              </w:rPr>
              <w:t>Chương trình “Năng lực số và AI cho thầy thuốc Hà Nội”</w:t>
            </w:r>
          </w:p>
        </w:tc>
        <w:tc>
          <w:tcPr>
            <w:tcW w:type="dxa" w:w="3000"/>
            <w:tcMar>
              <w:top w:w="100" w:type="dxa"/>
              <w:start w:w="140" w:type="dxa"/>
              <w:bottom w:w="100" w:type="dxa"/>
              <w:end w:w="140" w:type="dxa"/>
            </w:tcMar>
            <w:vAlign w:val="center"/>
          </w:tcPr>
          <w:p>
            <w:pPr>
              <w:spacing w:after="0" w:line="252" w:lineRule="auto"/>
              <w:jc w:val="left"/>
            </w:pPr>
            <w:r>
              <w:rPr>
                <w:rFonts w:ascii="Times New Roman" w:hAnsi="Times New Roman" w:eastAsia="Times New Roman"/>
                <w:b w:val="0"/>
                <w:i w:val="0"/>
                <w:color w:val="000000"/>
                <w:sz w:val="24"/>
              </w:rPr>
              <w:t>Ba cấp độ: nền tảng, ứng dụng chuyên môn, lãnh đạo số</w:t>
            </w:r>
          </w:p>
        </w:tc>
      </w:tr>
      <w:tr>
        <w:trPr>
          <w:cantSplit/>
        </w:trPr>
        <w:tc>
          <w:tcPr>
            <w:tcW w:type="dxa" w:w="900"/>
            <w:tcMar>
              <w:top w:w="100" w:type="dxa"/>
              <w:start w:w="140" w:type="dxa"/>
              <w:bottom w:w="100" w:type="dxa"/>
              <w:end w:w="140" w:type="dxa"/>
            </w:tcMar>
            <w:vAlign w:val="center"/>
            <w:shd w:fill="F5F7FA"/>
          </w:tcPr>
          <w:p>
            <w:pPr>
              <w:spacing w:after="0" w:line="252" w:lineRule="auto"/>
              <w:jc w:val="center"/>
            </w:pPr>
            <w:r>
              <w:rPr>
                <w:rFonts w:ascii="Times New Roman" w:hAnsi="Times New Roman" w:eastAsia="Times New Roman"/>
                <w:b w:val="0"/>
                <w:i w:val="0"/>
                <w:color w:val="000000"/>
                <w:sz w:val="24"/>
              </w:rPr>
              <w:t>4</w:t>
            </w:r>
          </w:p>
        </w:tc>
        <w:tc>
          <w:tcPr>
            <w:tcW w:type="dxa" w:w="5100"/>
            <w:tcMar>
              <w:top w:w="100" w:type="dxa"/>
              <w:start w:w="140" w:type="dxa"/>
              <w:bottom w:w="100" w:type="dxa"/>
              <w:end w:w="140" w:type="dxa"/>
            </w:tcMar>
            <w:vAlign w:val="center"/>
            <w:shd w:fill="F5F7FA"/>
          </w:tcPr>
          <w:p>
            <w:pPr>
              <w:spacing w:after="0" w:line="252" w:lineRule="auto"/>
              <w:jc w:val="left"/>
            </w:pPr>
            <w:r>
              <w:rPr>
                <w:rFonts w:ascii="Times New Roman" w:hAnsi="Times New Roman" w:eastAsia="Times New Roman"/>
                <w:b w:val="0"/>
                <w:i w:val="0"/>
                <w:color w:val="000000"/>
                <w:sz w:val="24"/>
              </w:rPr>
              <w:t>Lựa chọn các bài toán công nghệ để thử nghiệm tại cơ sở</w:t>
            </w:r>
          </w:p>
        </w:tc>
        <w:tc>
          <w:tcPr>
            <w:tcW w:type="dxa" w:w="3000"/>
            <w:tcMar>
              <w:top w:w="100" w:type="dxa"/>
              <w:start w:w="140" w:type="dxa"/>
              <w:bottom w:w="100" w:type="dxa"/>
              <w:end w:w="140" w:type="dxa"/>
            </w:tcMar>
            <w:vAlign w:val="center"/>
            <w:shd w:fill="F5F7FA"/>
          </w:tcPr>
          <w:p>
            <w:pPr>
              <w:spacing w:after="0" w:line="252" w:lineRule="auto"/>
              <w:jc w:val="left"/>
            </w:pPr>
            <w:r>
              <w:rPr>
                <w:rFonts w:ascii="Times New Roman" w:hAnsi="Times New Roman" w:eastAsia="Times New Roman"/>
                <w:b w:val="0"/>
                <w:i w:val="0"/>
                <w:color w:val="000000"/>
                <w:sz w:val="24"/>
              </w:rPr>
              <w:t>Từ 3-5 mô hình có quy trình, chỉ số và báo cáo đánh giá</w:t>
            </w:r>
          </w:p>
        </w:tc>
      </w:tr>
      <w:tr>
        <w:trPr>
          <w:cantSplit/>
        </w:trPr>
        <w:tc>
          <w:tcPr>
            <w:tcW w:type="dxa" w:w="900"/>
            <w:tcMar>
              <w:top w:w="100" w:type="dxa"/>
              <w:start w:w="140" w:type="dxa"/>
              <w:bottom w:w="100" w:type="dxa"/>
              <w:end w:w="140" w:type="dxa"/>
            </w:tcMar>
            <w:vAlign w:val="center"/>
          </w:tcPr>
          <w:p>
            <w:pPr>
              <w:spacing w:after="0" w:line="252" w:lineRule="auto"/>
              <w:jc w:val="center"/>
            </w:pPr>
            <w:r>
              <w:rPr>
                <w:rFonts w:ascii="Times New Roman" w:hAnsi="Times New Roman" w:eastAsia="Times New Roman"/>
                <w:b w:val="0"/>
                <w:i w:val="0"/>
                <w:color w:val="000000"/>
                <w:sz w:val="24"/>
              </w:rPr>
              <w:t>5</w:t>
            </w:r>
          </w:p>
        </w:tc>
        <w:tc>
          <w:tcPr>
            <w:tcW w:type="dxa" w:w="5100"/>
            <w:tcMar>
              <w:top w:w="100" w:type="dxa"/>
              <w:start w:w="140" w:type="dxa"/>
              <w:bottom w:w="100" w:type="dxa"/>
              <w:end w:w="140" w:type="dxa"/>
            </w:tcMar>
            <w:vAlign w:val="center"/>
          </w:tcPr>
          <w:p>
            <w:pPr>
              <w:spacing w:after="0" w:line="252" w:lineRule="auto"/>
              <w:jc w:val="left"/>
            </w:pPr>
            <w:r>
              <w:rPr>
                <w:rFonts w:ascii="Times New Roman" w:hAnsi="Times New Roman" w:eastAsia="Times New Roman"/>
                <w:b w:val="0"/>
                <w:i w:val="0"/>
                <w:color w:val="000000"/>
                <w:sz w:val="24"/>
              </w:rPr>
              <w:t>Mạng lưới giảng viên, chuyên gia và cố vấn của Hội</w:t>
            </w:r>
          </w:p>
        </w:tc>
        <w:tc>
          <w:tcPr>
            <w:tcW w:type="dxa" w:w="3000"/>
            <w:tcMar>
              <w:top w:w="100" w:type="dxa"/>
              <w:start w:w="140" w:type="dxa"/>
              <w:bottom w:w="100" w:type="dxa"/>
              <w:end w:w="140" w:type="dxa"/>
            </w:tcMar>
            <w:vAlign w:val="center"/>
          </w:tcPr>
          <w:p>
            <w:pPr>
              <w:spacing w:after="0" w:line="252" w:lineRule="auto"/>
              <w:jc w:val="left"/>
            </w:pPr>
            <w:r>
              <w:rPr>
                <w:rFonts w:ascii="Times New Roman" w:hAnsi="Times New Roman" w:eastAsia="Times New Roman"/>
                <w:b w:val="0"/>
                <w:i w:val="0"/>
                <w:color w:val="000000"/>
                <w:sz w:val="24"/>
              </w:rPr>
              <w:t>Danh mục chuyên gia, cơ chế huy động và chuẩn giảng viên</w:t>
            </w:r>
          </w:p>
        </w:tc>
      </w:tr>
      <w:tr>
        <w:trPr>
          <w:cantSplit/>
        </w:trPr>
        <w:tc>
          <w:tcPr>
            <w:tcW w:type="dxa" w:w="900"/>
            <w:tcMar>
              <w:top w:w="100" w:type="dxa"/>
              <w:start w:w="140" w:type="dxa"/>
              <w:bottom w:w="100" w:type="dxa"/>
              <w:end w:w="140" w:type="dxa"/>
            </w:tcMar>
            <w:vAlign w:val="center"/>
            <w:shd w:fill="F5F7FA"/>
          </w:tcPr>
          <w:p>
            <w:pPr>
              <w:spacing w:after="0" w:line="252" w:lineRule="auto"/>
              <w:jc w:val="center"/>
            </w:pPr>
            <w:r>
              <w:rPr>
                <w:rFonts w:ascii="Times New Roman" w:hAnsi="Times New Roman" w:eastAsia="Times New Roman"/>
                <w:b w:val="0"/>
                <w:i w:val="0"/>
                <w:color w:val="000000"/>
                <w:sz w:val="24"/>
              </w:rPr>
              <w:t>6</w:t>
            </w:r>
          </w:p>
        </w:tc>
        <w:tc>
          <w:tcPr>
            <w:tcW w:type="dxa" w:w="5100"/>
            <w:tcMar>
              <w:top w:w="100" w:type="dxa"/>
              <w:start w:w="140" w:type="dxa"/>
              <w:bottom w:w="100" w:type="dxa"/>
              <w:end w:w="140" w:type="dxa"/>
            </w:tcMar>
            <w:vAlign w:val="center"/>
            <w:shd w:fill="F5F7FA"/>
          </w:tcPr>
          <w:p>
            <w:pPr>
              <w:spacing w:after="0" w:line="252" w:lineRule="auto"/>
              <w:jc w:val="left"/>
            </w:pPr>
            <w:r>
              <w:rPr>
                <w:rFonts w:ascii="Times New Roman" w:hAnsi="Times New Roman" w:eastAsia="Times New Roman"/>
                <w:b w:val="0"/>
                <w:i w:val="0"/>
                <w:color w:val="000000"/>
                <w:sz w:val="24"/>
              </w:rPr>
              <w:t>Diễn đàn thường niên Y học Hà Nội - Đổi mới và Hội nhập</w:t>
            </w:r>
          </w:p>
        </w:tc>
        <w:tc>
          <w:tcPr>
            <w:tcW w:type="dxa" w:w="3000"/>
            <w:tcMar>
              <w:top w:w="100" w:type="dxa"/>
              <w:start w:w="140" w:type="dxa"/>
              <w:bottom w:w="100" w:type="dxa"/>
              <w:end w:w="140" w:type="dxa"/>
            </w:tcMar>
            <w:vAlign w:val="center"/>
            <w:shd w:fill="F5F7FA"/>
          </w:tcPr>
          <w:p>
            <w:pPr>
              <w:spacing w:after="0" w:line="252" w:lineRule="auto"/>
              <w:jc w:val="left"/>
            </w:pPr>
            <w:r>
              <w:rPr>
                <w:rFonts w:ascii="Times New Roman" w:hAnsi="Times New Roman" w:eastAsia="Times New Roman"/>
                <w:b w:val="0"/>
                <w:i w:val="0"/>
                <w:color w:val="000000"/>
                <w:sz w:val="24"/>
              </w:rPr>
              <w:t>Công bố kết quả, chia sẻ thực hành tốt, kết nối đối tác quốc tế</w:t>
            </w:r>
          </w:p>
        </w:tc>
      </w:tr>
    </w:tbl>
    <w:p>
      <w:pPr>
        <w:pStyle w:val="Heading1"/>
        <w:keepNext/>
      </w:pPr>
      <w:r>
        <w:rPr>
          <w:rFonts w:ascii="Times New Roman" w:hAnsi="Times New Roman" w:eastAsia="Times New Roman"/>
          <w:b/>
          <w:i w:val="0"/>
          <w:color w:val="17365D"/>
          <w:sz w:val="30"/>
        </w:rPr>
        <w:t>V. CAM KẾT CỦA TRUNG TÂM VÀ KIẾN NGHỊ VỚI LÃNH ĐẠO HỘI</w:t>
      </w:r>
    </w:p>
    <w:p>
      <w:pPr>
        <w:keepNext w:val="0"/>
        <w:spacing w:before="0" w:after="140" w:line="312" w:lineRule="auto"/>
        <w:ind w:firstLine="567"/>
        <w:jc w:val="both"/>
      </w:pPr>
      <w:r>
        <w:rPr>
          <w:rFonts w:ascii="Times New Roman" w:hAnsi="Times New Roman" w:eastAsia="Times New Roman"/>
          <w:b w:val="0"/>
          <w:i w:val="0"/>
          <w:color w:val="000000"/>
          <w:sz w:val="28"/>
        </w:rPr>
        <w:t>Trung tâm cam kết đồng hành với Hội theo bốn nguyên tắc: tôn trọng vai trò chuyên môn và tính tự chủ của các hội; tuân thủ quy định pháp luật và chuẩn chất lượng; công khai trách nhiệm, nguồn lực và kết quả; lấy hiệu quả áp dụng tại cơ sở và lợi ích của người bệnh làm thước đo.</w:t>
      </w:r>
    </w:p>
    <w:p>
      <w:pPr>
        <w:keepNext w:val="0"/>
        <w:spacing w:before="0" w:after="140" w:line="312" w:lineRule="auto"/>
        <w:ind w:firstLine="567"/>
        <w:jc w:val="both"/>
      </w:pPr>
      <w:r>
        <w:rPr>
          <w:rFonts w:ascii="Times New Roman" w:hAnsi="Times New Roman" w:eastAsia="Times New Roman"/>
          <w:b w:val="0"/>
          <w:i w:val="0"/>
          <w:color w:val="000000"/>
          <w:sz w:val="28"/>
        </w:rPr>
        <w:t>Riêng đối với kỳ kiểm tra quốc gia, Trung tâm xác định rõ nguyên tắc liêm chính: hỗ trợ người học đạt chuẩn năng lực, không hỗ trợ tiếp cận đề thi, không sử dụng ngân hàng câu hỏi bảo mật và không cam kết kết quả đỗ. Mọi học liệu luyện tập phải dựa trên chuẩn năng lực, ma trận và nguồn công khai; chuyên gia tham gia xây dựng đề thi chính thức phải được quản lý xung đột lợi ích chặt chẽ.</w:t>
      </w:r>
    </w:p>
    <w:p>
      <w:pPr>
        <w:keepNext w:val="0"/>
        <w:spacing w:before="0" w:after="140" w:line="312" w:lineRule="auto"/>
        <w:ind w:firstLine="567"/>
        <w:jc w:val="both"/>
      </w:pPr>
      <w:r>
        <w:rPr>
          <w:rFonts w:ascii="Times New Roman" w:hAnsi="Times New Roman" w:eastAsia="Times New Roman"/>
          <w:b w:val="0"/>
          <w:i w:val="0"/>
          <w:color w:val="000000"/>
          <w:sz w:val="28"/>
        </w:rPr>
        <w:t>Tôi trân trọng đề nghị Ban Chấp hành Hội khóa VIII xem xét xác lập cơ chế phối hợp chính thức giữa Hội và Trung tâm; giao một đầu mối thường trực của mỗi bên; lựa chọn một số hội chuyên ngành để triển khai mô hình điểm trong năm đầu; định kỳ sáu tháng đánh giá kết quả và công bố những thực hành tốt để nhân rộng.</w:t>
      </w:r>
    </w:p>
    <w:p>
      <w:pPr>
        <w:keepNext w:val="0"/>
        <w:spacing w:before="0" w:after="140" w:line="312" w:lineRule="auto"/>
        <w:ind w:firstLine="567"/>
        <w:jc w:val="both"/>
      </w:pPr>
      <w:r>
        <w:rPr>
          <w:rFonts w:ascii="Times New Roman" w:hAnsi="Times New Roman" w:eastAsia="Times New Roman"/>
          <w:b w:val="0"/>
          <w:i w:val="0"/>
          <w:color w:val="000000"/>
          <w:sz w:val="28"/>
        </w:rPr>
        <w:t>Về phía cá nhân, tôi sẵn sàng dành kinh nghiệm quản lý, nghiên cứu, đào tạo, chuyển đổi số và mạng lưới hợp tác trong nước, quốc tế để cùng lãnh đạo Hội xây dựng các chương trình có tầm nhìn nhưng phải khả thi; có đổi mới nhưng phải an toàn; có công nghệ nhưng luôn giữ con người và đạo đức nghề nghiệp ở vị trí trung tâm.</w:t>
      </w:r>
    </w:p>
    <w:p>
      <w:pPr>
        <w:spacing w:before="0" w:after="140" w:line="312" w:lineRule="auto"/>
        <w:ind w:firstLine="567"/>
        <w:jc w:val="both"/>
      </w:pPr>
      <w:r>
        <w:rPr>
          <w:rFonts w:ascii="Times New Roman" w:hAnsi="Times New Roman" w:eastAsia="Times New Roman"/>
          <w:b/>
          <w:i w:val="0"/>
          <w:color w:val="17365D"/>
          <w:sz w:val="28"/>
        </w:rPr>
        <w:t xml:space="preserve">Tôi mong muốn nhiệm kỳ 2026-2031 sẽ đánh dấu một bước chuyển: </w:t>
      </w:r>
      <w:r>
        <w:rPr>
          <w:rFonts w:ascii="Times New Roman" w:hAnsi="Times New Roman" w:eastAsia="Times New Roman"/>
          <w:b/>
          <w:i w:val="0"/>
          <w:color w:val="000000"/>
          <w:sz w:val="28"/>
        </w:rPr>
        <w:t>Hội không chỉ là nơi quy tụ các nhà chuyên môn, mà còn là nơi hình thành chuẩn mực, dẫn dắt tri thức và kiến tạo những giải pháp có thể triển khai trong toàn hệ thống. Trung tâm không chỉ là nơi tổ chức các khóa học, mà là hạ tầng thực thi giúp biến trí tuệ của Hội thành năng lực của hội viên, thành đổi mới của cơ sở y tế và cuối cùng thành lợi ích thiết thực của người dân.</w:t>
      </w:r>
    </w:p>
    <w:p>
      <w:pPr>
        <w:pStyle w:val="Heading1"/>
        <w:keepNext/>
      </w:pPr>
      <w:r>
        <w:rPr>
          <w:rFonts w:ascii="Times New Roman" w:hAnsi="Times New Roman" w:eastAsia="Times New Roman"/>
          <w:b/>
          <w:i w:val="0"/>
          <w:color w:val="17365D"/>
          <w:sz w:val="30"/>
        </w:rPr>
        <w:t>VI. KẾT LUẬN</w:t>
      </w:r>
    </w:p>
    <w:p>
      <w:pPr>
        <w:keepNext w:val="0"/>
        <w:spacing w:before="0" w:after="140" w:line="312" w:lineRule="auto"/>
        <w:ind w:firstLine="567"/>
        <w:jc w:val="both"/>
      </w:pPr>
      <w:r>
        <w:rPr>
          <w:rFonts w:ascii="Times New Roman" w:hAnsi="Times New Roman" w:eastAsia="Times New Roman"/>
          <w:b w:val="0"/>
          <w:i w:val="0"/>
          <w:color w:val="000000"/>
          <w:sz w:val="28"/>
        </w:rPr>
        <w:t>Thưa toàn thể Đại hội,</w:t>
      </w:r>
    </w:p>
    <w:p>
      <w:pPr>
        <w:keepNext w:val="0"/>
        <w:spacing w:before="0" w:after="140" w:line="312" w:lineRule="auto"/>
        <w:ind w:firstLine="567"/>
        <w:jc w:val="both"/>
      </w:pPr>
      <w:r>
        <w:rPr>
          <w:rFonts w:ascii="Times New Roman" w:hAnsi="Times New Roman" w:eastAsia="Times New Roman"/>
          <w:b w:val="0"/>
          <w:i w:val="0"/>
          <w:color w:val="000000"/>
          <w:sz w:val="28"/>
        </w:rPr>
        <w:t>Y tế Thủ đô đang bước vào giai đoạn mà ưu thế không chỉ thuộc về nơi có nhiều chuyên gia hay nhiều công nghệ, mà thuộc về hệ thống biết kết nối chuyên gia, chuẩn hóa tri thức, sử dụng dữ liệu đúng và tổ chức đổi mới đến cùng.</w:t>
      </w:r>
    </w:p>
    <w:p>
      <w:pPr>
        <w:keepNext w:val="0"/>
        <w:spacing w:before="0" w:after="140" w:line="312" w:lineRule="auto"/>
        <w:ind w:firstLine="567"/>
        <w:jc w:val="both"/>
      </w:pPr>
      <w:r>
        <w:rPr>
          <w:rFonts w:ascii="Times New Roman" w:hAnsi="Times New Roman" w:eastAsia="Times New Roman"/>
          <w:b w:val="0"/>
          <w:i w:val="0"/>
          <w:color w:val="000000"/>
          <w:sz w:val="28"/>
        </w:rPr>
        <w:t>Hội Y học thành phố Hà Nội có uy tín nghề nghiệp và sức mạnh tập hợp. Trung tâm Đào tạo và Chuyển giao công nghệ Y tế Hà Nội có chức năng tổ chức đào tạo, chuyển giao và kết nối nguồn lực. Nếu cùng thống nhất một chương trình hành động, chúng ta có thể tạo nên một hệ sinh thái học tập và đổi mới liên tục, góp phần xây dựng ngành y tế Hà Nội tiên tiến, hiện đại, nhân văn và xứng đáng với vị thế của Thủ đô.</w:t>
      </w:r>
    </w:p>
    <w:p>
      <w:pPr>
        <w:keepNext w:val="0"/>
        <w:spacing w:before="0" w:after="140" w:line="312" w:lineRule="auto"/>
        <w:ind w:firstLine="567"/>
        <w:jc w:val="both"/>
      </w:pPr>
      <w:r>
        <w:rPr>
          <w:rFonts w:ascii="Times New Roman" w:hAnsi="Times New Roman" w:eastAsia="Times New Roman"/>
          <w:b w:val="0"/>
          <w:i w:val="0"/>
          <w:color w:val="000000"/>
          <w:sz w:val="28"/>
        </w:rPr>
        <w:t>Xin kính chúc Đại hội Đại biểu Hội Y học thành phố Hà Nội khóa VIII thành công tốt đẹp. Chúc các đồng chí lãnh đạo, các nhà khoa học, các thầy thuốc và quý vị đại biểu sức khỏe, hạnh phúc và thành công.</w:t>
      </w:r>
    </w:p>
    <w:p>
      <w:pPr>
        <w:keepNext w:val="0"/>
        <w:spacing w:before="140" w:after="0" w:line="312" w:lineRule="auto"/>
        <w:jc w:val="center"/>
      </w:pPr>
      <w:r>
        <w:rPr>
          <w:rFonts w:ascii="Times New Roman" w:hAnsi="Times New Roman" w:eastAsia="Times New Roman"/>
          <w:b/>
          <w:i w:val="0"/>
          <w:color w:val="17365D"/>
          <w:sz w:val="28"/>
        </w:rPr>
        <w:t>Xin trân trọng cảm ơn!</w:t>
      </w:r>
    </w:p>
    <w:sectPr w:rsidR="00FC693F" w:rsidRPr="0006063C" w:rsidSect="00034616">
      <w:headerReference w:type="default" r:id="rId9"/>
      <w:footerReference w:type="default" r:id="rId10"/>
      <w:pgSz w:w="11906" w:h="16838"/>
      <w:pgMar w:top="1134" w:right="1134" w:bottom="1134" w:left="170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color w:val="666666"/>
        <w:sz w:val="18"/>
      </w:rPr>
      <w:t xml:space="preserve">PGS.TS. Doãn Ngọc Hải  |  Trung tâm Đào tạo và Chuyển giao công nghệ Y tế Hà Nội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Times New Roman"/>
        <w:b/>
        <w:i w:val="0"/>
        <w:color w:val="666666"/>
        <w:sz w:val="18"/>
      </w:rPr>
      <w:t>ĐẠI HỘI ĐẠI BIỂU HỘI Y HỌC THÀNH PHỐ HÀ NỘI KHÓA VIII, NHIỆM KỲ 2026-2031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Times New Roman" w:hAnsi="Times New Roman"/>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tham luận tại Đại hội Đại biểu Hội Y học thành phố Hà Nội khóa VIII</dc:title>
  <dc:subject>Đào tạo, chuyển giao công nghệ, chuyển đổi số và hợp tác quốc tế</dc:subject>
  <dc:creator>PGS.TS. Doãn Ngọc Hải</dc:creator>
  <cp:keywords/>
  <dc:description>generated by python-docx</dc:description>
  <cp:lastModifiedBy/>
  <cp:revision>1</cp:revision>
  <dcterms:created xsi:type="dcterms:W3CDTF">2013-12-23T23:15:00Z</dcterms:created>
  <dcterms:modified xsi:type="dcterms:W3CDTF">2013-12-23T23:15:00Z</dcterms:modified>
  <cp:category/>
</cp:coreProperties>
</file>